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GERRY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00"/>
        <w:spacing w:after="0" w:line="325" w:lineRule="auto"/>
        <w:rPr>
          <w:sz w:val="20"/>
          <w:szCs w:val="20"/>
          <w:color w:val="auto"/>
        </w:rPr>
      </w:pPr>
      <w:r>
        <w:rPr>
          <w:rFonts w:ascii="Arial" w:cs="Arial" w:eastAsia="Arial" w:hAnsi="Arial"/>
          <w:sz w:val="18"/>
          <w:szCs w:val="18"/>
          <w:color w:val="0000FF"/>
        </w:rPr>
        <w:t>6600 NORTH MILITARY TRAIL LEGAL DEPARTMENT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OFFICE DEPOT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ODP</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2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BOCA RATON</w:t>
            </w:r>
          </w:p>
        </w:tc>
        <w:tc>
          <w:tcPr>
            <w:tcW w:w="920" w:type="dxa"/>
            <w:vAlign w:val="bottom"/>
          </w:tcPr>
          <w:p>
            <w:pPr>
              <w:ind w:left="8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33496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02/19/2020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91"/>
              </w:rPr>
              <w:t>408,586</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0.0000</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3,609,607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8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represent restricted stock units and will be settled in common stock upon vesting on March 6, 2020. The restricted stock units were earned by the Reporting Person after the Compensation Committee certified that the Company satisfied certain performance objectives for the 2017-2019 three-year fiscal performance period which was completed on December 28, 2019.</w:t>
      </w:r>
    </w:p>
    <w:p>
      <w:pPr>
        <w:ind w:left="6860"/>
        <w:spacing w:after="0" w:line="180" w:lineRule="auto"/>
        <w:rPr>
          <w:sz w:val="20"/>
          <w:szCs w:val="20"/>
          <w:color w:val="auto"/>
        </w:rPr>
      </w:pPr>
      <w:r>
        <w:rPr>
          <w:rFonts w:ascii="Arial" w:cs="Arial" w:eastAsia="Arial" w:hAnsi="Arial"/>
          <w:sz w:val="17"/>
          <w:szCs w:val="17"/>
          <w:color w:val="0000FF"/>
        </w:rPr>
        <w:t xml:space="preserve">/s/ N. David Bleisch, Attorney- </w:t>
      </w:r>
      <w:r>
        <w:rPr>
          <w:rFonts w:ascii="Arial" w:cs="Arial" w:eastAsia="Arial" w:hAnsi="Arial"/>
          <w:sz w:val="33"/>
          <w:szCs w:val="33"/>
          <w:color w:val="0000FF"/>
          <w:vertAlign w:val="subscript"/>
        </w:rPr>
        <w:t>02/21/2020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3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8193" TargetMode="External"/><Relationship Id="rId13" Type="http://schemas.openxmlformats.org/officeDocument/2006/relationships/hyperlink" Target="http://www.sec.gov/cgi-bin/browse-edgar?action=getcompany&amp;CIK=0000800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2020-02-21T15:53:54Z</dcterms:created>
  <dcterms:modified xsi:type="dcterms:W3CDTF">2020-02-21T15:53:54Z</dcterms:modified>
</cp:coreProperties>
</file>